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3" w:rsidRPr="006E2BD3" w:rsidRDefault="006E2BD3" w:rsidP="006E2BD3">
      <w:pPr>
        <w:keepNext/>
        <w:wordWrap w:val="0"/>
        <w:adjustRightInd w:val="0"/>
        <w:snapToGrid w:val="0"/>
        <w:spacing w:afterLines="50" w:after="156" w:line="288" w:lineRule="auto"/>
        <w:jc w:val="center"/>
        <w:outlineLvl w:val="3"/>
        <w:rPr>
          <w:rFonts w:ascii="宋体" w:eastAsia="宋体" w:hAnsi="宋体" w:cs="宋体"/>
          <w:b/>
          <w:sz w:val="32"/>
          <w:szCs w:val="24"/>
        </w:rPr>
      </w:pPr>
      <w:bookmarkStart w:id="0" w:name="_GoBack"/>
      <w:r w:rsidRPr="006E2BD3">
        <w:rPr>
          <w:rFonts w:ascii="宋体" w:eastAsia="宋体" w:hAnsi="宋体" w:cs="宋体"/>
          <w:b/>
          <w:sz w:val="32"/>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64"/>
        <w:gridCol w:w="1629"/>
        <w:gridCol w:w="5520"/>
      </w:tblGrid>
      <w:tr w:rsidR="006E2BD3" w:rsidRPr="006E2BD3" w:rsidTr="00E40CAB">
        <w:trPr>
          <w:trHeight w:val="485"/>
          <w:tblHeader/>
          <w:jc w:val="center"/>
        </w:trPr>
        <w:tc>
          <w:tcPr>
            <w:tcW w:w="1910" w:type="dxa"/>
            <w:gridSpan w:val="2"/>
            <w:shd w:val="clear" w:color="auto" w:fill="auto"/>
            <w:vAlign w:val="center"/>
          </w:tcPr>
          <w:p w:rsidR="006E2BD3" w:rsidRPr="006E2BD3" w:rsidRDefault="006E2BD3" w:rsidP="006E2BD3">
            <w:pPr>
              <w:wordWrap w:val="0"/>
              <w:adjustRightInd w:val="0"/>
              <w:snapToGrid w:val="0"/>
              <w:jc w:val="center"/>
              <w:rPr>
                <w:rFonts w:ascii="宋体" w:eastAsia="宋体" w:hAnsi="宋体" w:cs="Times New Roman"/>
                <w:b/>
                <w:sz w:val="22"/>
              </w:rPr>
            </w:pPr>
            <w:r w:rsidRPr="006E2BD3">
              <w:rPr>
                <w:rFonts w:ascii="宋体" w:eastAsia="宋体" w:hAnsi="宋体" w:cs="Times New Roman" w:hint="eastAsia"/>
                <w:b/>
                <w:sz w:val="22"/>
              </w:rPr>
              <w:t>条款号</w:t>
            </w:r>
          </w:p>
        </w:tc>
        <w:tc>
          <w:tcPr>
            <w:tcW w:w="1629" w:type="dxa"/>
            <w:shd w:val="clear" w:color="auto" w:fill="auto"/>
            <w:vAlign w:val="center"/>
          </w:tcPr>
          <w:p w:rsidR="006E2BD3" w:rsidRPr="006E2BD3" w:rsidRDefault="006E2BD3" w:rsidP="006E2BD3">
            <w:pPr>
              <w:wordWrap w:val="0"/>
              <w:adjustRightInd w:val="0"/>
              <w:snapToGrid w:val="0"/>
              <w:jc w:val="center"/>
              <w:rPr>
                <w:rFonts w:ascii="宋体" w:eastAsia="宋体" w:hAnsi="宋体" w:cs="Times New Roman"/>
                <w:b/>
                <w:sz w:val="22"/>
              </w:rPr>
            </w:pPr>
            <w:r w:rsidRPr="006E2BD3">
              <w:rPr>
                <w:rFonts w:ascii="宋体" w:eastAsia="宋体" w:hAnsi="宋体" w:cs="Times New Roman" w:hint="eastAsia"/>
                <w:b/>
                <w:sz w:val="22"/>
              </w:rPr>
              <w:t>评审因素</w:t>
            </w:r>
          </w:p>
        </w:tc>
        <w:tc>
          <w:tcPr>
            <w:tcW w:w="5520" w:type="dxa"/>
            <w:shd w:val="clear" w:color="auto" w:fill="auto"/>
            <w:vAlign w:val="center"/>
          </w:tcPr>
          <w:p w:rsidR="006E2BD3" w:rsidRPr="006E2BD3" w:rsidRDefault="006E2BD3" w:rsidP="006E2BD3">
            <w:pPr>
              <w:wordWrap w:val="0"/>
              <w:adjustRightInd w:val="0"/>
              <w:snapToGrid w:val="0"/>
              <w:jc w:val="center"/>
              <w:rPr>
                <w:rFonts w:ascii="宋体" w:eastAsia="宋体" w:hAnsi="宋体" w:cs="Times New Roman"/>
                <w:b/>
                <w:sz w:val="22"/>
              </w:rPr>
            </w:pPr>
            <w:r w:rsidRPr="006E2BD3">
              <w:rPr>
                <w:rFonts w:ascii="宋体" w:eastAsia="宋体" w:hAnsi="宋体" w:cs="Times New Roman" w:hint="eastAsia"/>
                <w:b/>
                <w:sz w:val="22"/>
              </w:rPr>
              <w:t>评审标准</w:t>
            </w:r>
          </w:p>
        </w:tc>
      </w:tr>
      <w:tr w:rsidR="006E2BD3" w:rsidRPr="006E2BD3" w:rsidTr="00E40CAB">
        <w:trPr>
          <w:trHeight w:val="20"/>
          <w:jc w:val="center"/>
        </w:trPr>
        <w:tc>
          <w:tcPr>
            <w:tcW w:w="846"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2.1.1</w:t>
            </w:r>
          </w:p>
        </w:tc>
        <w:tc>
          <w:tcPr>
            <w:tcW w:w="1064"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形式评审标准</w:t>
            </w: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投标人名称</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与营业执照（或事业单位法人证书）一致。</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签字盖章</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投标文件主要内容齐全，签字盖章符合招标文件规定。</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联合体投标人</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不允许</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备选投标方案</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不允许</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投标文件格式</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符合第六章“投标文件格式”的规定。</w:t>
            </w:r>
          </w:p>
        </w:tc>
      </w:tr>
      <w:tr w:rsidR="006E2BD3" w:rsidRPr="006E2BD3" w:rsidTr="00E40CAB">
        <w:trPr>
          <w:trHeight w:val="20"/>
          <w:jc w:val="center"/>
        </w:trPr>
        <w:tc>
          <w:tcPr>
            <w:tcW w:w="846"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2.1.2</w:t>
            </w:r>
          </w:p>
        </w:tc>
        <w:tc>
          <w:tcPr>
            <w:tcW w:w="1064"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响应性评审标准</w:t>
            </w: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投标报价</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投标函上填写的投标报价不高于招标人公布的预算价。</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noWrap/>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投标内容</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符合招标文件要求</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服务期限</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符合招标文件要求</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质量标准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符合招标文件要求</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投标有效期</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符合招标文件要求</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其他</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投标人不得进行分包、不存在串通投标情形等</w:t>
            </w:r>
          </w:p>
        </w:tc>
      </w:tr>
      <w:tr w:rsidR="006E2BD3" w:rsidRPr="006E2BD3" w:rsidTr="00E40CAB">
        <w:trPr>
          <w:trHeight w:val="20"/>
          <w:jc w:val="center"/>
        </w:trPr>
        <w:tc>
          <w:tcPr>
            <w:tcW w:w="846"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2.1.3</w:t>
            </w:r>
          </w:p>
        </w:tc>
        <w:tc>
          <w:tcPr>
            <w:tcW w:w="1064"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资格评审标准</w:t>
            </w: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营业执照或事业单位法人证书</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符合第一章第</w:t>
            </w:r>
            <w:r w:rsidRPr="006E2BD3">
              <w:rPr>
                <w:rFonts w:ascii="宋体" w:eastAsia="宋体" w:hAnsi="宋体" w:cs="宋体"/>
                <w:sz w:val="22"/>
              </w:rPr>
              <w:t>3.2项规定</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资质证书</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符合第一章第</w:t>
            </w:r>
            <w:r w:rsidRPr="006E2BD3">
              <w:rPr>
                <w:rFonts w:ascii="宋体" w:eastAsia="宋体" w:hAnsi="宋体" w:cs="宋体"/>
                <w:sz w:val="22"/>
              </w:rPr>
              <w:t>3.3项规定</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联合体投标</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本项目不接受联合体投标，符合第一章第</w:t>
            </w:r>
            <w:r w:rsidRPr="006E2BD3">
              <w:rPr>
                <w:rFonts w:ascii="宋体" w:eastAsia="宋体" w:hAnsi="宋体" w:cs="宋体"/>
                <w:sz w:val="22"/>
              </w:rPr>
              <w:t>3.4项规定。</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其他要求</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符合第一章第</w:t>
            </w:r>
            <w:r w:rsidRPr="006E2BD3">
              <w:rPr>
                <w:rFonts w:ascii="宋体" w:eastAsia="宋体" w:hAnsi="宋体" w:cs="宋体"/>
                <w:sz w:val="22"/>
              </w:rPr>
              <w:t>3.5项规定</w:t>
            </w:r>
          </w:p>
        </w:tc>
      </w:tr>
      <w:tr w:rsidR="006E2BD3" w:rsidRPr="006E2BD3" w:rsidTr="00E40CAB">
        <w:trPr>
          <w:trHeight w:val="413"/>
          <w:jc w:val="center"/>
        </w:trPr>
        <w:tc>
          <w:tcPr>
            <w:tcW w:w="1910" w:type="dxa"/>
            <w:gridSpan w:val="2"/>
            <w:shd w:val="clear" w:color="auto" w:fill="auto"/>
            <w:vAlign w:val="center"/>
          </w:tcPr>
          <w:p w:rsidR="006E2BD3" w:rsidRPr="006E2BD3" w:rsidRDefault="006E2BD3" w:rsidP="006E2BD3">
            <w:pPr>
              <w:wordWrap w:val="0"/>
              <w:adjustRightInd w:val="0"/>
              <w:snapToGrid w:val="0"/>
              <w:jc w:val="center"/>
              <w:rPr>
                <w:rFonts w:ascii="宋体" w:eastAsia="宋体" w:hAnsi="宋体" w:cs="宋体"/>
                <w:b/>
                <w:sz w:val="22"/>
              </w:rPr>
            </w:pPr>
            <w:r w:rsidRPr="006E2BD3">
              <w:rPr>
                <w:rFonts w:ascii="宋体" w:eastAsia="宋体" w:hAnsi="宋体" w:cs="宋体" w:hint="eastAsia"/>
                <w:b/>
                <w:sz w:val="22"/>
              </w:rPr>
              <w:t>条款号</w:t>
            </w:r>
          </w:p>
        </w:tc>
        <w:tc>
          <w:tcPr>
            <w:tcW w:w="1629" w:type="dxa"/>
            <w:shd w:val="clear" w:color="auto" w:fill="auto"/>
            <w:vAlign w:val="center"/>
          </w:tcPr>
          <w:p w:rsidR="006E2BD3" w:rsidRPr="006E2BD3" w:rsidRDefault="006E2BD3" w:rsidP="006E2BD3">
            <w:pPr>
              <w:wordWrap w:val="0"/>
              <w:adjustRightInd w:val="0"/>
              <w:snapToGrid w:val="0"/>
              <w:jc w:val="center"/>
              <w:rPr>
                <w:rFonts w:ascii="宋体" w:eastAsia="宋体" w:hAnsi="宋体" w:cs="宋体"/>
                <w:b/>
                <w:sz w:val="22"/>
              </w:rPr>
            </w:pPr>
            <w:r w:rsidRPr="006E2BD3">
              <w:rPr>
                <w:rFonts w:ascii="宋体" w:eastAsia="宋体" w:hAnsi="宋体" w:cs="宋体" w:hint="eastAsia"/>
                <w:b/>
                <w:sz w:val="22"/>
              </w:rPr>
              <w:t>评审因素</w:t>
            </w:r>
          </w:p>
        </w:tc>
        <w:tc>
          <w:tcPr>
            <w:tcW w:w="5520" w:type="dxa"/>
            <w:shd w:val="clear" w:color="auto" w:fill="auto"/>
            <w:vAlign w:val="center"/>
          </w:tcPr>
          <w:p w:rsidR="006E2BD3" w:rsidRPr="006E2BD3" w:rsidRDefault="006E2BD3" w:rsidP="006E2BD3">
            <w:pPr>
              <w:wordWrap w:val="0"/>
              <w:adjustRightInd w:val="0"/>
              <w:snapToGrid w:val="0"/>
              <w:jc w:val="center"/>
              <w:rPr>
                <w:rFonts w:ascii="宋体" w:eastAsia="宋体" w:hAnsi="宋体" w:cs="宋体"/>
                <w:b/>
                <w:sz w:val="22"/>
              </w:rPr>
            </w:pPr>
            <w:r w:rsidRPr="006E2BD3">
              <w:rPr>
                <w:rFonts w:ascii="宋体" w:eastAsia="宋体" w:hAnsi="宋体" w:cs="宋体" w:hint="eastAsia"/>
                <w:b/>
                <w:sz w:val="22"/>
              </w:rPr>
              <w:t>评审标准</w:t>
            </w:r>
          </w:p>
        </w:tc>
      </w:tr>
      <w:tr w:rsidR="006E2BD3" w:rsidRPr="006E2BD3" w:rsidTr="00E40CAB">
        <w:trPr>
          <w:trHeight w:val="20"/>
          <w:jc w:val="center"/>
        </w:trPr>
        <w:tc>
          <w:tcPr>
            <w:tcW w:w="846" w:type="dxa"/>
            <w:vMerge w:val="restart"/>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r w:rsidRPr="006E2BD3">
              <w:rPr>
                <w:rFonts w:ascii="宋体" w:eastAsia="宋体" w:hAnsi="宋体" w:cs="宋体" w:hint="eastAsia"/>
                <w:sz w:val="22"/>
              </w:rPr>
              <w:t>2.2.1</w:t>
            </w:r>
          </w:p>
        </w:tc>
        <w:tc>
          <w:tcPr>
            <w:tcW w:w="1064" w:type="dxa"/>
            <w:vMerge w:val="restart"/>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宋体" w:hint="eastAsia"/>
                <w:sz w:val="22"/>
              </w:rPr>
              <w:t>详细评审（1</w:t>
            </w:r>
            <w:r w:rsidRPr="006E2BD3">
              <w:rPr>
                <w:rFonts w:ascii="宋体" w:eastAsia="宋体" w:hAnsi="宋体" w:cs="宋体"/>
                <w:sz w:val="22"/>
              </w:rPr>
              <w:t>00</w:t>
            </w:r>
            <w:r w:rsidRPr="006E2BD3">
              <w:rPr>
                <w:rFonts w:ascii="宋体" w:eastAsia="宋体" w:hAnsi="宋体" w:cs="宋体" w:hint="eastAsia"/>
                <w:sz w:val="22"/>
              </w:rPr>
              <w:t>分）</w:t>
            </w: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质量管理水平（</w:t>
            </w:r>
            <w:r w:rsidRPr="006E2BD3">
              <w:rPr>
                <w:rFonts w:ascii="宋体" w:eastAsia="宋体" w:hAnsi="宋体" w:cs="Times New Roman"/>
                <w:sz w:val="22"/>
              </w:rPr>
              <w:t>40分）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评审投标人针对本项目的质量管理制度及实施情况，包括项目咨询、意见分歧解决、项目质量复核、项目质量检查、质量管理缺陷识别与整改等方面的政策与程序。</w:t>
            </w:r>
          </w:p>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根据投标人编制的质量管理制度及实施情况的规范性、完整性、适用性等方便进行评审：</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优，得</w:t>
            </w:r>
            <w:r w:rsidRPr="006E2BD3">
              <w:rPr>
                <w:rFonts w:ascii="宋体" w:eastAsia="宋体" w:hAnsi="宋体" w:cs="Times New Roman"/>
                <w:sz w:val="22"/>
              </w:rPr>
              <w:t>40</w:t>
            </w:r>
            <w:r w:rsidRPr="006E2BD3">
              <w:rPr>
                <w:rFonts w:ascii="宋体" w:eastAsia="宋体" w:hAnsi="宋体" w:cs="Times New Roman" w:hint="eastAsia"/>
                <w:sz w:val="22"/>
              </w:rPr>
              <w:t>分；良好，得</w:t>
            </w:r>
            <w:r w:rsidRPr="006E2BD3">
              <w:rPr>
                <w:rFonts w:ascii="宋体" w:eastAsia="宋体" w:hAnsi="宋体" w:cs="Times New Roman"/>
                <w:sz w:val="22"/>
              </w:rPr>
              <w:t>25</w:t>
            </w:r>
            <w:r w:rsidRPr="006E2BD3">
              <w:rPr>
                <w:rFonts w:ascii="宋体" w:eastAsia="宋体" w:hAnsi="宋体" w:cs="Times New Roman" w:hint="eastAsia"/>
                <w:sz w:val="22"/>
              </w:rPr>
              <w:t>分；一般，得</w:t>
            </w:r>
            <w:r w:rsidRPr="006E2BD3">
              <w:rPr>
                <w:rFonts w:ascii="宋体" w:eastAsia="宋体" w:hAnsi="宋体" w:cs="Times New Roman"/>
                <w:sz w:val="22"/>
              </w:rPr>
              <w:t>10</w:t>
            </w:r>
            <w:r w:rsidRPr="006E2BD3">
              <w:rPr>
                <w:rFonts w:ascii="宋体" w:eastAsia="宋体" w:hAnsi="宋体" w:cs="Times New Roman" w:hint="eastAsia"/>
                <w:sz w:val="22"/>
              </w:rPr>
              <w:t>分；较差或无得</w:t>
            </w:r>
            <w:r w:rsidRPr="006E2BD3">
              <w:rPr>
                <w:rFonts w:ascii="宋体" w:eastAsia="宋体" w:hAnsi="宋体" w:cs="Times New Roman"/>
                <w:sz w:val="22"/>
              </w:rPr>
              <w:t>0分。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工作方案（</w:t>
            </w:r>
            <w:r w:rsidRPr="006E2BD3">
              <w:rPr>
                <w:rFonts w:ascii="宋体" w:eastAsia="宋体" w:hAnsi="宋体" w:cs="Times New Roman"/>
                <w:sz w:val="22"/>
              </w:rPr>
              <w:t>5分）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评审投标人提供的工作方案，工作方案的内容包括但不限于：明确审计要求、按时保质完成审计工作（包括但不仅限于审计报告、管理建议书）等。</w:t>
            </w:r>
          </w:p>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根据投标人编制的工作方案规范性、可行性、完整性进行评审：</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优，得</w:t>
            </w:r>
            <w:r w:rsidRPr="006E2BD3">
              <w:rPr>
                <w:rFonts w:ascii="宋体" w:eastAsia="宋体" w:hAnsi="宋体" w:cs="Times New Roman"/>
                <w:sz w:val="22"/>
              </w:rPr>
              <w:t>5</w:t>
            </w:r>
            <w:r w:rsidRPr="006E2BD3">
              <w:rPr>
                <w:rFonts w:ascii="宋体" w:eastAsia="宋体" w:hAnsi="宋体" w:cs="Times New Roman" w:hint="eastAsia"/>
                <w:sz w:val="22"/>
              </w:rPr>
              <w:t>分；良好，得</w:t>
            </w:r>
            <w:r w:rsidRPr="006E2BD3">
              <w:rPr>
                <w:rFonts w:ascii="宋体" w:eastAsia="宋体" w:hAnsi="宋体" w:cs="Times New Roman"/>
                <w:sz w:val="22"/>
              </w:rPr>
              <w:t>3</w:t>
            </w:r>
            <w:r w:rsidRPr="006E2BD3">
              <w:rPr>
                <w:rFonts w:ascii="宋体" w:eastAsia="宋体" w:hAnsi="宋体" w:cs="Times New Roman" w:hint="eastAsia"/>
                <w:sz w:val="22"/>
              </w:rPr>
              <w:t>分；一般，得</w:t>
            </w:r>
            <w:r w:rsidRPr="006E2BD3">
              <w:rPr>
                <w:rFonts w:ascii="宋体" w:eastAsia="宋体" w:hAnsi="宋体" w:cs="Times New Roman"/>
                <w:sz w:val="22"/>
              </w:rPr>
              <w:t>1</w:t>
            </w:r>
            <w:r w:rsidRPr="006E2BD3">
              <w:rPr>
                <w:rFonts w:ascii="宋体" w:eastAsia="宋体" w:hAnsi="宋体" w:cs="Times New Roman" w:hint="eastAsia"/>
                <w:sz w:val="22"/>
              </w:rPr>
              <w:t>分；较差或无得</w:t>
            </w:r>
            <w:r w:rsidRPr="006E2BD3">
              <w:rPr>
                <w:rFonts w:ascii="宋体" w:eastAsia="宋体" w:hAnsi="宋体" w:cs="Times New Roman"/>
                <w:sz w:val="22"/>
              </w:rPr>
              <w:t>0分。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信息安全管理（</w:t>
            </w:r>
            <w:r w:rsidRPr="006E2BD3">
              <w:rPr>
                <w:rFonts w:ascii="宋体" w:eastAsia="宋体" w:hAnsi="宋体" w:cs="Times New Roman"/>
                <w:sz w:val="22"/>
              </w:rPr>
              <w:t>4分）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评审投标人的信息安全管理相关制度、安全保护责任和要求、资料涉密敏感信息的管控、防范信息泄露风险的措施。</w:t>
            </w:r>
          </w:p>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据投标人的信息安全管理工作的合理性、可行性、完整性进行评审：</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优，得</w:t>
            </w:r>
            <w:r w:rsidRPr="006E2BD3">
              <w:rPr>
                <w:rFonts w:ascii="宋体" w:eastAsia="宋体" w:hAnsi="宋体" w:cs="Times New Roman"/>
                <w:sz w:val="22"/>
              </w:rPr>
              <w:t>4</w:t>
            </w:r>
            <w:r w:rsidRPr="006E2BD3">
              <w:rPr>
                <w:rFonts w:ascii="宋体" w:eastAsia="宋体" w:hAnsi="宋体" w:cs="Times New Roman" w:hint="eastAsia"/>
                <w:sz w:val="22"/>
              </w:rPr>
              <w:t>分；良好，得</w:t>
            </w:r>
            <w:r w:rsidRPr="006E2BD3">
              <w:rPr>
                <w:rFonts w:ascii="宋体" w:eastAsia="宋体" w:hAnsi="宋体" w:cs="Times New Roman"/>
                <w:sz w:val="22"/>
              </w:rPr>
              <w:t>2</w:t>
            </w:r>
            <w:r w:rsidRPr="006E2BD3">
              <w:rPr>
                <w:rFonts w:ascii="宋体" w:eastAsia="宋体" w:hAnsi="宋体" w:cs="Times New Roman" w:hint="eastAsia"/>
                <w:sz w:val="22"/>
              </w:rPr>
              <w:t>分；一般，得</w:t>
            </w:r>
            <w:r w:rsidRPr="006E2BD3">
              <w:rPr>
                <w:rFonts w:ascii="宋体" w:eastAsia="宋体" w:hAnsi="宋体" w:cs="Times New Roman"/>
                <w:sz w:val="22"/>
              </w:rPr>
              <w:t>1</w:t>
            </w:r>
            <w:r w:rsidRPr="006E2BD3">
              <w:rPr>
                <w:rFonts w:ascii="宋体" w:eastAsia="宋体" w:hAnsi="宋体" w:cs="Times New Roman" w:hint="eastAsia"/>
                <w:sz w:val="22"/>
              </w:rPr>
              <w:t>分；较差或无得</w:t>
            </w:r>
            <w:r w:rsidRPr="006E2BD3">
              <w:rPr>
                <w:rFonts w:ascii="宋体" w:eastAsia="宋体" w:hAnsi="宋体" w:cs="Times New Roman"/>
                <w:sz w:val="22"/>
              </w:rPr>
              <w:t>0分。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风险承担能力水平（</w:t>
            </w:r>
            <w:r w:rsidRPr="006E2BD3">
              <w:rPr>
                <w:rFonts w:ascii="宋体" w:eastAsia="宋体" w:hAnsi="宋体" w:cs="Times New Roman"/>
                <w:sz w:val="22"/>
              </w:rPr>
              <w:t>3分）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评审投标人风险保障机制建立情況，包括职业责任保险制度建设执行或风险基金计提情况，风险防范能力等。</w:t>
            </w:r>
          </w:p>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根据投标人风险承担能力水平的完整性进行评审：</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优，得</w:t>
            </w:r>
            <w:r w:rsidRPr="006E2BD3">
              <w:rPr>
                <w:rFonts w:ascii="宋体" w:eastAsia="宋体" w:hAnsi="宋体" w:cs="Times New Roman"/>
                <w:sz w:val="22"/>
              </w:rPr>
              <w:t>3</w:t>
            </w:r>
            <w:r w:rsidRPr="006E2BD3">
              <w:rPr>
                <w:rFonts w:ascii="宋体" w:eastAsia="宋体" w:hAnsi="宋体" w:cs="Times New Roman" w:hint="eastAsia"/>
                <w:sz w:val="22"/>
              </w:rPr>
              <w:t>分；良好，得</w:t>
            </w:r>
            <w:r w:rsidRPr="006E2BD3">
              <w:rPr>
                <w:rFonts w:ascii="宋体" w:eastAsia="宋体" w:hAnsi="宋体" w:cs="Times New Roman"/>
                <w:sz w:val="22"/>
              </w:rPr>
              <w:t>2</w:t>
            </w:r>
            <w:r w:rsidRPr="006E2BD3">
              <w:rPr>
                <w:rFonts w:ascii="宋体" w:eastAsia="宋体" w:hAnsi="宋体" w:cs="Times New Roman" w:hint="eastAsia"/>
                <w:sz w:val="22"/>
              </w:rPr>
              <w:t>分；一般，得</w:t>
            </w:r>
            <w:r w:rsidRPr="006E2BD3">
              <w:rPr>
                <w:rFonts w:ascii="宋体" w:eastAsia="宋体" w:hAnsi="宋体" w:cs="Times New Roman"/>
                <w:sz w:val="22"/>
              </w:rPr>
              <w:t>1</w:t>
            </w:r>
            <w:r w:rsidRPr="006E2BD3">
              <w:rPr>
                <w:rFonts w:ascii="宋体" w:eastAsia="宋体" w:hAnsi="宋体" w:cs="Times New Roman" w:hint="eastAsia"/>
                <w:sz w:val="22"/>
              </w:rPr>
              <w:t>分；较差或无</w:t>
            </w:r>
            <w:r w:rsidRPr="006E2BD3">
              <w:rPr>
                <w:rFonts w:ascii="宋体" w:eastAsia="宋体" w:hAnsi="宋体" w:cs="Times New Roman" w:hint="eastAsia"/>
                <w:sz w:val="22"/>
              </w:rPr>
              <w:lastRenderedPageBreak/>
              <w:t>得</w:t>
            </w:r>
            <w:r w:rsidRPr="006E2BD3">
              <w:rPr>
                <w:rFonts w:ascii="宋体" w:eastAsia="宋体" w:hAnsi="宋体" w:cs="Times New Roman"/>
                <w:sz w:val="22"/>
              </w:rPr>
              <w:t>0分。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合理化建议（</w:t>
            </w:r>
            <w:r w:rsidRPr="006E2BD3">
              <w:rPr>
                <w:rFonts w:ascii="宋体" w:eastAsia="宋体" w:hAnsi="宋体" w:cs="Times New Roman"/>
                <w:sz w:val="22"/>
              </w:rPr>
              <w:t>3分）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投标人对本项目进行全面的分析和评估，考虑招标人的利益和需求，从招标人的角度出发，提出有利的建议和措施。</w:t>
            </w:r>
          </w:p>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根据投标人提出建议的合理性、有效性、可行性方面进行评审：</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优，得</w:t>
            </w:r>
            <w:r w:rsidRPr="006E2BD3">
              <w:rPr>
                <w:rFonts w:ascii="宋体" w:eastAsia="宋体" w:hAnsi="宋体" w:cs="Times New Roman"/>
                <w:sz w:val="22"/>
              </w:rPr>
              <w:t>3</w:t>
            </w:r>
            <w:r w:rsidRPr="006E2BD3">
              <w:rPr>
                <w:rFonts w:ascii="宋体" w:eastAsia="宋体" w:hAnsi="宋体" w:cs="Times New Roman" w:hint="eastAsia"/>
                <w:sz w:val="22"/>
              </w:rPr>
              <w:t>分；良好，得</w:t>
            </w:r>
            <w:r w:rsidRPr="006E2BD3">
              <w:rPr>
                <w:rFonts w:ascii="宋体" w:eastAsia="宋体" w:hAnsi="宋体" w:cs="Times New Roman"/>
                <w:sz w:val="22"/>
              </w:rPr>
              <w:t>2</w:t>
            </w:r>
            <w:r w:rsidRPr="006E2BD3">
              <w:rPr>
                <w:rFonts w:ascii="宋体" w:eastAsia="宋体" w:hAnsi="宋体" w:cs="Times New Roman" w:hint="eastAsia"/>
                <w:sz w:val="22"/>
              </w:rPr>
              <w:t>分；一般，得</w:t>
            </w:r>
            <w:r w:rsidRPr="006E2BD3">
              <w:rPr>
                <w:rFonts w:ascii="宋体" w:eastAsia="宋体" w:hAnsi="宋体" w:cs="Times New Roman"/>
                <w:sz w:val="22"/>
              </w:rPr>
              <w:t>1</w:t>
            </w:r>
            <w:r w:rsidRPr="006E2BD3">
              <w:rPr>
                <w:rFonts w:ascii="宋体" w:eastAsia="宋体" w:hAnsi="宋体" w:cs="Times New Roman" w:hint="eastAsia"/>
                <w:sz w:val="22"/>
              </w:rPr>
              <w:t>分；较差或无得</w:t>
            </w:r>
            <w:r w:rsidRPr="006E2BD3">
              <w:rPr>
                <w:rFonts w:ascii="宋体" w:eastAsia="宋体" w:hAnsi="宋体" w:cs="Times New Roman"/>
                <w:sz w:val="22"/>
              </w:rPr>
              <w:t>0分。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企业业绩（</w:t>
            </w:r>
            <w:r w:rsidRPr="006E2BD3">
              <w:rPr>
                <w:rFonts w:ascii="宋体" w:eastAsia="宋体" w:hAnsi="宋体" w:cs="Times New Roman"/>
                <w:sz w:val="22"/>
              </w:rPr>
              <w:t>30分）</w:t>
            </w:r>
          </w:p>
        </w:tc>
        <w:tc>
          <w:tcPr>
            <w:tcW w:w="5520" w:type="dxa"/>
            <w:shd w:val="clear" w:color="auto" w:fill="auto"/>
            <w:vAlign w:val="center"/>
          </w:tcPr>
          <w:p w:rsidR="006E2BD3" w:rsidRPr="006E2BD3" w:rsidRDefault="006E2BD3" w:rsidP="006E2BD3">
            <w:pPr>
              <w:wordWrap w:val="0"/>
              <w:adjustRightInd w:val="0"/>
              <w:snapToGrid w:val="0"/>
              <w:jc w:val="left"/>
              <w:rPr>
                <w:rFonts w:ascii="宋体" w:eastAsia="宋体" w:hAnsi="宋体" w:cs="Times New Roman"/>
                <w:sz w:val="22"/>
              </w:rPr>
            </w:pPr>
            <w:r w:rsidRPr="006E2BD3">
              <w:rPr>
                <w:rFonts w:ascii="宋体" w:eastAsia="宋体" w:hAnsi="宋体" w:cs="Times New Roman" w:hint="eastAsia"/>
                <w:sz w:val="22"/>
              </w:rPr>
              <w:t>根据投标人自2021年1月1日至今完成过审计服务项目业绩情况进行评审：每一项得</w:t>
            </w:r>
            <w:r w:rsidRPr="006E2BD3">
              <w:rPr>
                <w:rFonts w:ascii="宋体" w:eastAsia="宋体" w:hAnsi="宋体" w:cs="Times New Roman"/>
                <w:sz w:val="22"/>
              </w:rPr>
              <w:t>10</w:t>
            </w:r>
            <w:r w:rsidRPr="006E2BD3">
              <w:rPr>
                <w:rFonts w:ascii="宋体" w:eastAsia="宋体" w:hAnsi="宋体" w:cs="Times New Roman" w:hint="eastAsia"/>
                <w:sz w:val="22"/>
              </w:rPr>
              <w:t>分，最高得</w:t>
            </w:r>
            <w:r w:rsidRPr="006E2BD3">
              <w:rPr>
                <w:rFonts w:ascii="宋体" w:eastAsia="宋体" w:hAnsi="宋体" w:cs="Times New Roman"/>
                <w:sz w:val="22"/>
              </w:rPr>
              <w:t>30</w:t>
            </w:r>
            <w:r w:rsidRPr="006E2BD3">
              <w:rPr>
                <w:rFonts w:ascii="宋体" w:eastAsia="宋体" w:hAnsi="宋体" w:cs="Times New Roman" w:hint="eastAsia"/>
                <w:sz w:val="22"/>
              </w:rPr>
              <w:t>分。</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注：须提供（1）业绩相关合同或业务约定书关键页复印件（至少包含服务内容页、金额页、签订时间页、盖章签署页）（2）时间以合同或业务约定书上的签订日期为准。</w:t>
            </w:r>
          </w:p>
        </w:tc>
      </w:tr>
      <w:tr w:rsidR="006E2BD3" w:rsidRPr="006E2BD3" w:rsidTr="00E40CAB">
        <w:trPr>
          <w:trHeight w:val="20"/>
          <w:jc w:val="center"/>
        </w:trPr>
        <w:tc>
          <w:tcPr>
            <w:tcW w:w="846"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064" w:type="dxa"/>
            <w:vMerge/>
            <w:shd w:val="clear" w:color="auto" w:fill="auto"/>
            <w:vAlign w:val="center"/>
          </w:tcPr>
          <w:p w:rsidR="006E2BD3" w:rsidRPr="006E2BD3" w:rsidRDefault="006E2BD3" w:rsidP="006E2BD3">
            <w:pPr>
              <w:wordWrap w:val="0"/>
              <w:adjustRightInd w:val="0"/>
              <w:snapToGrid w:val="0"/>
              <w:jc w:val="left"/>
              <w:rPr>
                <w:rFonts w:ascii="宋体" w:eastAsia="宋体" w:hAnsi="宋体" w:cs="宋体"/>
                <w:sz w:val="22"/>
              </w:rPr>
            </w:pPr>
          </w:p>
        </w:tc>
        <w:tc>
          <w:tcPr>
            <w:tcW w:w="1629" w:type="dxa"/>
            <w:shd w:val="clear" w:color="auto" w:fill="auto"/>
            <w:vAlign w:val="center"/>
          </w:tcPr>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投标报价（</w:t>
            </w:r>
            <w:r w:rsidRPr="006E2BD3">
              <w:rPr>
                <w:rFonts w:ascii="宋体" w:eastAsia="宋体" w:hAnsi="宋体" w:cs="Times New Roman"/>
                <w:sz w:val="22"/>
              </w:rPr>
              <w:t>15分）</w:t>
            </w:r>
          </w:p>
        </w:tc>
        <w:tc>
          <w:tcPr>
            <w:tcW w:w="5520" w:type="dxa"/>
            <w:shd w:val="clear" w:color="auto" w:fill="auto"/>
            <w:vAlign w:val="center"/>
          </w:tcPr>
          <w:p w:rsidR="006E2BD3" w:rsidRPr="006E2BD3" w:rsidRDefault="006E2BD3" w:rsidP="006E2BD3">
            <w:pPr>
              <w:widowControl/>
              <w:wordWrap w:val="0"/>
              <w:jc w:val="left"/>
              <w:rPr>
                <w:rFonts w:ascii="宋体" w:eastAsia="宋体" w:hAnsi="宋体" w:cs="Times New Roman"/>
                <w:sz w:val="22"/>
              </w:rPr>
            </w:pPr>
            <w:r w:rsidRPr="006E2BD3">
              <w:rPr>
                <w:rFonts w:ascii="宋体" w:eastAsia="宋体" w:hAnsi="宋体" w:cs="Times New Roman" w:hint="eastAsia"/>
                <w:sz w:val="22"/>
              </w:rPr>
              <w:t>评标基准价</w:t>
            </w:r>
            <w:r w:rsidRPr="006E2BD3">
              <w:rPr>
                <w:rFonts w:ascii="宋体" w:eastAsia="宋体" w:hAnsi="宋体" w:cs="Times New Roman"/>
                <w:sz w:val="22"/>
              </w:rPr>
              <w:t>=满足招标文件要求的所有</w:t>
            </w:r>
            <w:r w:rsidRPr="006E2BD3">
              <w:rPr>
                <w:rFonts w:ascii="宋体" w:eastAsia="宋体" w:hAnsi="宋体" w:cs="Times New Roman" w:hint="eastAsia"/>
                <w:sz w:val="22"/>
              </w:rPr>
              <w:t>投标</w:t>
            </w:r>
            <w:r w:rsidRPr="006E2BD3">
              <w:rPr>
                <w:rFonts w:ascii="宋体" w:eastAsia="宋体" w:hAnsi="宋体" w:cs="Times New Roman"/>
                <w:sz w:val="22"/>
              </w:rPr>
              <w:t>报价的平均值</w:t>
            </w:r>
          </w:p>
          <w:p w:rsidR="006E2BD3" w:rsidRPr="006E2BD3" w:rsidRDefault="006E2BD3" w:rsidP="006E2BD3">
            <w:pPr>
              <w:widowControl/>
              <w:wordWrap w:val="0"/>
              <w:jc w:val="left"/>
              <w:rPr>
                <w:rFonts w:ascii="宋体" w:eastAsia="宋体" w:hAnsi="宋体" w:cs="Times New Roman"/>
                <w:sz w:val="22"/>
              </w:rPr>
            </w:pPr>
            <w:r w:rsidRPr="006E2BD3">
              <w:rPr>
                <w:rFonts w:ascii="宋体" w:eastAsia="宋体" w:hAnsi="宋体" w:cs="Times New Roman" w:hint="eastAsia"/>
                <w:sz w:val="22"/>
              </w:rPr>
              <w:t>报价得分</w:t>
            </w:r>
            <w:r w:rsidRPr="006E2BD3">
              <w:rPr>
                <w:rFonts w:ascii="宋体" w:eastAsia="宋体" w:hAnsi="宋体" w:cs="Times New Roman"/>
                <w:sz w:val="22"/>
              </w:rPr>
              <w:t>=(1-|评标基准价-投标人</w:t>
            </w:r>
            <w:r w:rsidRPr="006E2BD3">
              <w:rPr>
                <w:rFonts w:ascii="宋体" w:eastAsia="宋体" w:hAnsi="宋体" w:cs="Times New Roman" w:hint="eastAsia"/>
                <w:sz w:val="22"/>
              </w:rPr>
              <w:t>投标</w:t>
            </w:r>
            <w:r w:rsidRPr="006E2BD3">
              <w:rPr>
                <w:rFonts w:ascii="宋体" w:eastAsia="宋体" w:hAnsi="宋体" w:cs="Times New Roman"/>
                <w:sz w:val="22"/>
              </w:rPr>
              <w:t>报价|/评标基准价)×15</w:t>
            </w:r>
          </w:p>
          <w:p w:rsidR="006E2BD3" w:rsidRPr="006E2BD3" w:rsidRDefault="006E2BD3" w:rsidP="006E2BD3">
            <w:pPr>
              <w:wordWrap w:val="0"/>
              <w:adjustRightInd w:val="0"/>
              <w:snapToGrid w:val="0"/>
              <w:rPr>
                <w:rFonts w:ascii="宋体" w:eastAsia="宋体" w:hAnsi="宋体" w:cs="宋体"/>
                <w:sz w:val="22"/>
              </w:rPr>
            </w:pPr>
            <w:r w:rsidRPr="006E2BD3">
              <w:rPr>
                <w:rFonts w:ascii="宋体" w:eastAsia="宋体" w:hAnsi="宋体" w:cs="Times New Roman" w:hint="eastAsia"/>
                <w:sz w:val="22"/>
              </w:rPr>
              <w:t>注：投标报价得分四舍五入后，小数点后保留两位有效数。</w:t>
            </w:r>
          </w:p>
        </w:tc>
      </w:tr>
    </w:tbl>
    <w:p w:rsidR="006E2BD3" w:rsidRPr="006E2BD3" w:rsidRDefault="006E2BD3" w:rsidP="006E2BD3">
      <w:pPr>
        <w:wordWrap w:val="0"/>
        <w:autoSpaceDE w:val="0"/>
        <w:autoSpaceDN w:val="0"/>
        <w:adjustRightInd w:val="0"/>
        <w:snapToGrid w:val="0"/>
        <w:spacing w:line="312" w:lineRule="auto"/>
        <w:ind w:firstLineChars="200" w:firstLine="482"/>
        <w:textAlignment w:val="center"/>
        <w:rPr>
          <w:rFonts w:ascii="宋体" w:eastAsia="宋体" w:hAnsi="宋体" w:cs="宋体"/>
          <w:b/>
          <w:bCs/>
          <w:snapToGrid w:val="0"/>
          <w:sz w:val="24"/>
          <w:szCs w:val="21"/>
        </w:rPr>
      </w:pPr>
    </w:p>
    <w:p w:rsidR="006E2BD3" w:rsidRPr="006E2BD3" w:rsidRDefault="006E2BD3" w:rsidP="006E2BD3">
      <w:pPr>
        <w:pageBreakBefore/>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6E2BD3">
        <w:rPr>
          <w:rFonts w:ascii="宋体" w:eastAsia="宋体" w:hAnsi="宋体" w:cs="宋体"/>
          <w:b/>
          <w:sz w:val="24"/>
          <w:szCs w:val="24"/>
        </w:rPr>
        <w:lastRenderedPageBreak/>
        <w:t>1.评标方法</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本次评标采用</w:t>
      </w:r>
      <w:r w:rsidRPr="006E2BD3">
        <w:rPr>
          <w:rFonts w:ascii="宋体" w:eastAsia="宋体" w:hAnsi="宋体" w:cs="宋体"/>
          <w:b/>
          <w:bCs/>
          <w:sz w:val="24"/>
          <w:szCs w:val="24"/>
          <w:u w:val="single"/>
        </w:rPr>
        <w:t>综合评分法</w:t>
      </w:r>
      <w:r w:rsidRPr="006E2BD3">
        <w:rPr>
          <w:rFonts w:ascii="宋体" w:eastAsia="宋体" w:hAnsi="宋体" w:cs="宋体"/>
          <w:bCs/>
          <w:sz w:val="24"/>
          <w:szCs w:val="24"/>
        </w:rPr>
        <w:t>。评标委员会对满足招标文件实质性要求的投标文件，按照本章第2.2款规定的评分标准进行综合评分，并按综合评分由高到低顺序推荐不超过3名中标候选人，综合评分相等时，以综合评分相等的单位中随机抽取优先确定第一中标候选人。</w:t>
      </w:r>
    </w:p>
    <w:p w:rsidR="006E2BD3" w:rsidRPr="006E2BD3" w:rsidRDefault="006E2BD3" w:rsidP="006E2BD3">
      <w:pPr>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6E2BD3">
        <w:rPr>
          <w:rFonts w:ascii="宋体" w:eastAsia="宋体" w:hAnsi="宋体" w:cs="宋体"/>
          <w:b/>
          <w:sz w:val="24"/>
          <w:szCs w:val="24"/>
        </w:rPr>
        <w:t>2.评审标准</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2.1初步评审标准</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2.1.1形式评审标准：见评标办法前附表。</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2.1.2响应性评审标准：见评标办法前附表。</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2.1.3资格评审标准：见评标办法前附表。</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2.2详细评审</w:t>
      </w:r>
    </w:p>
    <w:p w:rsidR="006E2BD3" w:rsidRPr="006E2BD3" w:rsidRDefault="006E2BD3" w:rsidP="006E2BD3">
      <w:pPr>
        <w:wordWrap w:val="0"/>
        <w:adjustRightInd w:val="0"/>
        <w:snapToGrid w:val="0"/>
        <w:spacing w:line="312" w:lineRule="auto"/>
        <w:ind w:firstLineChars="200" w:firstLine="480"/>
        <w:jc w:val="left"/>
        <w:rPr>
          <w:rFonts w:ascii="宋体" w:eastAsia="宋体" w:hAnsi="宋体" w:cs="宋体"/>
          <w:bCs/>
          <w:sz w:val="24"/>
          <w:szCs w:val="24"/>
        </w:rPr>
      </w:pPr>
      <w:r w:rsidRPr="006E2BD3">
        <w:rPr>
          <w:rFonts w:ascii="宋体" w:eastAsia="宋体" w:hAnsi="宋体" w:cs="宋体"/>
          <w:bCs/>
          <w:sz w:val="24"/>
          <w:szCs w:val="24"/>
        </w:rPr>
        <w:t>2.2.1分值构成与评分标准：见评标办法前附表。</w:t>
      </w:r>
    </w:p>
    <w:p w:rsidR="006E2BD3" w:rsidRPr="006E2BD3" w:rsidRDefault="006E2BD3" w:rsidP="006E2BD3">
      <w:pPr>
        <w:wordWrap w:val="0"/>
        <w:adjustRightInd w:val="0"/>
        <w:snapToGrid w:val="0"/>
        <w:spacing w:beforeLines="50" w:before="156" w:line="312" w:lineRule="auto"/>
        <w:ind w:firstLineChars="200" w:firstLine="482"/>
        <w:jc w:val="left"/>
        <w:outlineLvl w:val="1"/>
        <w:rPr>
          <w:rFonts w:ascii="宋体" w:eastAsia="宋体" w:hAnsi="宋体" w:cs="宋体"/>
          <w:b/>
          <w:sz w:val="24"/>
          <w:szCs w:val="24"/>
        </w:rPr>
      </w:pPr>
      <w:r w:rsidRPr="006E2BD3">
        <w:rPr>
          <w:rFonts w:ascii="宋体" w:eastAsia="宋体" w:hAnsi="宋体" w:cs="宋体"/>
          <w:b/>
          <w:sz w:val="24"/>
          <w:szCs w:val="24"/>
        </w:rPr>
        <w:t>3.评标程序</w:t>
      </w:r>
    </w:p>
    <w:p w:rsidR="006E2BD3" w:rsidRPr="006E2BD3" w:rsidRDefault="006E2BD3" w:rsidP="006E2BD3">
      <w:pPr>
        <w:wordWrap w:val="0"/>
        <w:adjustRightInd w:val="0"/>
        <w:snapToGrid w:val="0"/>
        <w:spacing w:line="312" w:lineRule="auto"/>
        <w:ind w:firstLineChars="200" w:firstLine="482"/>
        <w:rPr>
          <w:rFonts w:ascii="宋体" w:eastAsia="宋体" w:hAnsi="宋体" w:cs="宋体"/>
          <w:b/>
          <w:sz w:val="24"/>
          <w:szCs w:val="24"/>
        </w:rPr>
      </w:pPr>
      <w:r w:rsidRPr="006E2BD3">
        <w:rPr>
          <w:rFonts w:ascii="宋体" w:eastAsia="宋体" w:hAnsi="宋体" w:cs="宋体" w:hint="eastAsia"/>
          <w:b/>
          <w:sz w:val="24"/>
          <w:szCs w:val="24"/>
        </w:rPr>
        <w:t>3.1初步评审</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3.1.1评标委员会依据本章第2.1.1及2.1.2条规定的标准，对投标文件进行形式评审与响应性评审。有一项不符合评审标准的，评标委员会应当否决其投标。</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3.1.2资格评审标准：评标委员会依据本章第2.1.3条规定的标准，对通过形式评审与响应性评审的投标文件进行资格评审。有一项不符合评审标准的，评标委员会应当否决其投标。</w:t>
      </w:r>
    </w:p>
    <w:p w:rsidR="006E2BD3" w:rsidRPr="006E2BD3" w:rsidRDefault="006E2BD3" w:rsidP="006E2BD3">
      <w:pPr>
        <w:wordWrap w:val="0"/>
        <w:adjustRightInd w:val="0"/>
        <w:snapToGrid w:val="0"/>
        <w:spacing w:line="312" w:lineRule="auto"/>
        <w:ind w:firstLineChars="200" w:firstLine="482"/>
        <w:rPr>
          <w:rFonts w:ascii="宋体" w:eastAsia="宋体" w:hAnsi="宋体" w:cs="宋体"/>
          <w:b/>
          <w:sz w:val="24"/>
          <w:szCs w:val="24"/>
        </w:rPr>
      </w:pPr>
      <w:r w:rsidRPr="006E2BD3">
        <w:rPr>
          <w:rFonts w:ascii="宋体" w:eastAsia="宋体" w:hAnsi="宋体" w:cs="宋体" w:hint="eastAsia"/>
          <w:b/>
          <w:sz w:val="24"/>
          <w:szCs w:val="24"/>
        </w:rPr>
        <w:t>3.2详细评审</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评标委员会依据本章详细评审标准，对通过资格评审的投标人进行详细评审。评审因素得分以评标委员会的评分去高去低后的算数平均值；综合评分为各评审因素得分之和计算，结果四舍五入保留2为小数。</w:t>
      </w:r>
    </w:p>
    <w:p w:rsidR="006E2BD3" w:rsidRPr="006E2BD3" w:rsidRDefault="006E2BD3" w:rsidP="006E2BD3">
      <w:pPr>
        <w:wordWrap w:val="0"/>
        <w:adjustRightInd w:val="0"/>
        <w:snapToGrid w:val="0"/>
        <w:spacing w:line="312" w:lineRule="auto"/>
        <w:ind w:firstLineChars="200" w:firstLine="482"/>
        <w:rPr>
          <w:rFonts w:ascii="宋体" w:eastAsia="宋体" w:hAnsi="宋体" w:cs="宋体"/>
          <w:b/>
          <w:sz w:val="24"/>
          <w:szCs w:val="24"/>
        </w:rPr>
      </w:pPr>
      <w:r w:rsidRPr="006E2BD3">
        <w:rPr>
          <w:rFonts w:ascii="宋体" w:eastAsia="宋体" w:hAnsi="宋体" w:cs="宋体" w:hint="eastAsia"/>
          <w:b/>
          <w:sz w:val="24"/>
          <w:szCs w:val="24"/>
        </w:rPr>
        <w:t>3.3投标文件的澄清和补正</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3.3.2澄清、说明和补正不得改变投标文件的实质性内容。投标人的书面澄清、说明和补正属于投标文件的组成部分。</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3.3.3评标委员会对投标人提交的澄清、说明或补正有疑问的，可以要求投标人进一步澄清、说明或补正，直至满足评标委员会的要求。</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t>3.3.4凡超出招标文件规定的或给发包人带来未曾要求的利益的变化、偏差或其他因素在评标时不予考虑。</w:t>
      </w:r>
    </w:p>
    <w:p w:rsidR="006E2BD3" w:rsidRPr="006E2BD3" w:rsidRDefault="006E2BD3" w:rsidP="006E2BD3">
      <w:pPr>
        <w:wordWrap w:val="0"/>
        <w:adjustRightInd w:val="0"/>
        <w:snapToGrid w:val="0"/>
        <w:spacing w:line="312" w:lineRule="auto"/>
        <w:ind w:firstLineChars="200" w:firstLine="482"/>
        <w:rPr>
          <w:rFonts w:ascii="宋体" w:eastAsia="宋体" w:hAnsi="宋体" w:cs="宋体"/>
          <w:b/>
          <w:sz w:val="24"/>
          <w:szCs w:val="24"/>
        </w:rPr>
      </w:pPr>
      <w:r w:rsidRPr="006E2BD3">
        <w:rPr>
          <w:rFonts w:ascii="宋体" w:eastAsia="宋体" w:hAnsi="宋体" w:cs="宋体" w:hint="eastAsia"/>
          <w:b/>
          <w:sz w:val="24"/>
          <w:szCs w:val="24"/>
        </w:rPr>
        <w:t>3.4推荐中标候选人</w:t>
      </w:r>
    </w:p>
    <w:p w:rsidR="006E2BD3" w:rsidRPr="006E2BD3" w:rsidRDefault="006E2BD3" w:rsidP="006E2BD3">
      <w:pPr>
        <w:wordWrap w:val="0"/>
        <w:adjustRightInd w:val="0"/>
        <w:snapToGrid w:val="0"/>
        <w:spacing w:line="312" w:lineRule="auto"/>
        <w:ind w:firstLineChars="200" w:firstLine="480"/>
        <w:rPr>
          <w:rFonts w:ascii="宋体" w:eastAsia="宋体" w:hAnsi="宋体" w:cs="宋体"/>
          <w:sz w:val="24"/>
          <w:szCs w:val="24"/>
        </w:rPr>
      </w:pPr>
      <w:r w:rsidRPr="006E2BD3">
        <w:rPr>
          <w:rFonts w:ascii="宋体" w:eastAsia="宋体" w:hAnsi="宋体" w:cs="宋体" w:hint="eastAsia"/>
          <w:sz w:val="24"/>
          <w:szCs w:val="24"/>
        </w:rPr>
        <w:lastRenderedPageBreak/>
        <w:t>评标委员会按照投标人综合得分由高至低排序，综合得分最高的为第一中标候选人，综合得分次低的为第二中标候选人，以此类推，共推荐三名中标候选人。综合得分相同的投标文件，以报价较低的排前；报价均相同的投标文件，由评标委员会采用投票方式，确定投标人的排序，推荐前3名依次为第一中标候选人至第三中标候选人,并编制评标报告。</w:t>
      </w:r>
    </w:p>
    <w:bookmarkEnd w:id="0"/>
    <w:p w:rsidR="00AF4DE0" w:rsidRDefault="00AF4DE0"/>
    <w:sectPr w:rsidR="00AF4DE0" w:rsidSect="006E2BD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D3" w:rsidRDefault="006E2BD3" w:rsidP="006E2BD3">
      <w:r>
        <w:separator/>
      </w:r>
    </w:p>
  </w:endnote>
  <w:endnote w:type="continuationSeparator" w:id="0">
    <w:p w:rsidR="006E2BD3" w:rsidRDefault="006E2BD3" w:rsidP="006E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Default="006E2B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Default="006E2BD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Default="006E2B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D3" w:rsidRDefault="006E2BD3" w:rsidP="006E2BD3">
      <w:r>
        <w:separator/>
      </w:r>
    </w:p>
  </w:footnote>
  <w:footnote w:type="continuationSeparator" w:id="0">
    <w:p w:rsidR="006E2BD3" w:rsidRDefault="006E2BD3" w:rsidP="006E2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Default="006E2B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Pr="006E2BD3" w:rsidRDefault="006E2BD3" w:rsidP="006E2BD3">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BD3" w:rsidRDefault="006E2B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986F8"/>
    <w:multiLevelType w:val="multilevel"/>
    <w:tmpl w:val="9DBA86D4"/>
    <w:lvl w:ilvl="0">
      <w:start w:val="1"/>
      <w:numFmt w:val="chineseCountingThousand"/>
      <w:pStyle w:val="1"/>
      <w:suff w:val="nothing"/>
      <w:lvlText w:val="第%1章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space"/>
      <w:lvlText w:val="%1.%2  "/>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space"/>
      <w:lvlText w:val="%1.%2.%3  "/>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isLg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chineseCountingThousand"/>
      <w:suff w:val="nothing"/>
      <w:lvlText w:val="%5、"/>
      <w:lvlJc w:val="left"/>
      <w:pPr>
        <w:ind w:left="567"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D3"/>
    <w:rsid w:val="000638BF"/>
    <w:rsid w:val="002650AF"/>
    <w:rsid w:val="002F13CC"/>
    <w:rsid w:val="00343185"/>
    <w:rsid w:val="00354058"/>
    <w:rsid w:val="004B6865"/>
    <w:rsid w:val="00570C47"/>
    <w:rsid w:val="005C3FF1"/>
    <w:rsid w:val="00604AC0"/>
    <w:rsid w:val="006415D7"/>
    <w:rsid w:val="00662E9E"/>
    <w:rsid w:val="006E2BD3"/>
    <w:rsid w:val="00793CD6"/>
    <w:rsid w:val="00836690"/>
    <w:rsid w:val="00971111"/>
    <w:rsid w:val="00AF4DE0"/>
    <w:rsid w:val="00AF5B2D"/>
    <w:rsid w:val="00B141E8"/>
    <w:rsid w:val="00B460F5"/>
    <w:rsid w:val="00B75EA7"/>
    <w:rsid w:val="00CA255D"/>
    <w:rsid w:val="00CC7D8B"/>
    <w:rsid w:val="00D21D27"/>
    <w:rsid w:val="00D409CD"/>
    <w:rsid w:val="00D40DAA"/>
    <w:rsid w:val="00DF7727"/>
    <w:rsid w:val="00E25470"/>
    <w:rsid w:val="00E34D12"/>
    <w:rsid w:val="00F72190"/>
    <w:rsid w:val="00FC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E72A-EB67-4756-BBDC-5DDB3655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141E8"/>
    <w:pPr>
      <w:pageBreakBefore/>
      <w:numPr>
        <w:numId w:val="5"/>
      </w:numPr>
      <w:adjustRightInd w:val="0"/>
      <w:snapToGrid w:val="0"/>
      <w:spacing w:afterLines="100" w:after="312" w:line="560" w:lineRule="exact"/>
      <w:jc w:val="center"/>
      <w:outlineLvl w:val="0"/>
    </w:pPr>
    <w:rPr>
      <w:rFonts w:ascii="宋体" w:eastAsia="宋体" w:hAnsi="宋体"/>
      <w:b/>
      <w:bCs/>
      <w:kern w:val="44"/>
      <w:sz w:val="44"/>
      <w:szCs w:val="44"/>
    </w:rPr>
  </w:style>
  <w:style w:type="paragraph" w:styleId="2">
    <w:name w:val="heading 2"/>
    <w:basedOn w:val="a"/>
    <w:next w:val="a"/>
    <w:link w:val="20"/>
    <w:qFormat/>
    <w:rsid w:val="00B141E8"/>
    <w:pPr>
      <w:keepNext/>
      <w:keepLines/>
      <w:numPr>
        <w:ilvl w:val="1"/>
        <w:numId w:val="5"/>
      </w:numPr>
      <w:autoSpaceDE w:val="0"/>
      <w:adjustRightInd w:val="0"/>
      <w:snapToGrid w:val="0"/>
      <w:spacing w:line="560" w:lineRule="exact"/>
      <w:jc w:val="left"/>
      <w:outlineLvl w:val="1"/>
    </w:pPr>
    <w:rPr>
      <w:rFonts w:eastAsia="黑体"/>
      <w:bCs/>
      <w:sz w:val="32"/>
      <w:szCs w:val="32"/>
    </w:rPr>
  </w:style>
  <w:style w:type="paragraph" w:styleId="3">
    <w:name w:val="heading 3"/>
    <w:basedOn w:val="4"/>
    <w:next w:val="a"/>
    <w:link w:val="30"/>
    <w:qFormat/>
    <w:rsid w:val="00B141E8"/>
    <w:pPr>
      <w:numPr>
        <w:ilvl w:val="2"/>
      </w:numPr>
      <w:outlineLvl w:val="2"/>
    </w:pPr>
    <w:rPr>
      <w:rFonts w:ascii="楷体_GB2312" w:eastAsia="楷体_GB2312"/>
      <w:sz w:val="32"/>
      <w:szCs w:val="32"/>
    </w:rPr>
  </w:style>
  <w:style w:type="paragraph" w:styleId="4">
    <w:name w:val="heading 4"/>
    <w:basedOn w:val="a"/>
    <w:next w:val="a"/>
    <w:link w:val="40"/>
    <w:qFormat/>
    <w:rsid w:val="00B141E8"/>
    <w:pPr>
      <w:keepNext/>
      <w:keepLines/>
      <w:numPr>
        <w:ilvl w:val="3"/>
        <w:numId w:val="5"/>
      </w:numPr>
      <w:adjustRightInd w:val="0"/>
      <w:snapToGrid w:val="0"/>
      <w:spacing w:line="560" w:lineRule="exact"/>
      <w:outlineLvl w:val="3"/>
    </w:pPr>
    <w:rPr>
      <w:color w:val="000000"/>
      <w14:scene3d>
        <w14:camera w14:prst="orthographicFront"/>
        <w14:lightRig w14:rig="threePt" w14:dir="t">
          <w14:rot w14:lat="0" w14:lon="0" w14:rev="0"/>
        </w14:lightRig>
      </w14:scene3d>
    </w:rPr>
  </w:style>
  <w:style w:type="paragraph" w:styleId="5">
    <w:name w:val="heading 5"/>
    <w:basedOn w:val="a"/>
    <w:next w:val="a"/>
    <w:link w:val="50"/>
    <w:uiPriority w:val="9"/>
    <w:qFormat/>
    <w:rsid w:val="00B141E8"/>
    <w:pPr>
      <w:keepNext/>
      <w:keepLines/>
      <w:spacing w:before="280" w:after="290" w:line="376" w:lineRule="auto"/>
      <w:ind w:left="1008" w:hanging="1008"/>
      <w:outlineLvl w:val="4"/>
    </w:pPr>
    <w:rPr>
      <w:rFonts w:ascii="仿宋_GB2312" w:hAnsi="仿宋_GB2312"/>
      <w:b/>
      <w:bCs/>
      <w:lang w:eastAsia="en-US"/>
    </w:rPr>
  </w:style>
  <w:style w:type="paragraph" w:styleId="6">
    <w:name w:val="heading 6"/>
    <w:basedOn w:val="a"/>
    <w:next w:val="a"/>
    <w:link w:val="60"/>
    <w:uiPriority w:val="9"/>
    <w:qFormat/>
    <w:rsid w:val="00B141E8"/>
    <w:pPr>
      <w:keepNext/>
      <w:keepLines/>
      <w:tabs>
        <w:tab w:val="left" w:pos="1152"/>
      </w:tabs>
      <w:adjustRightInd w:val="0"/>
      <w:spacing w:before="240" w:after="64" w:line="320" w:lineRule="atLeast"/>
      <w:ind w:left="1151" w:hanging="1151"/>
      <w:jc w:val="left"/>
      <w:textAlignment w:val="baseline"/>
      <w:outlineLvl w:val="5"/>
    </w:pPr>
    <w:rPr>
      <w:rFonts w:ascii="Arial" w:hAnsi="Arial"/>
      <w:szCs w:val="20"/>
      <w:lang w:eastAsia="en-US"/>
    </w:rPr>
  </w:style>
  <w:style w:type="paragraph" w:styleId="7">
    <w:name w:val="heading 7"/>
    <w:basedOn w:val="a"/>
    <w:next w:val="a"/>
    <w:link w:val="70"/>
    <w:uiPriority w:val="9"/>
    <w:qFormat/>
    <w:rsid w:val="00B141E8"/>
    <w:pPr>
      <w:keepNext/>
      <w:keepLines/>
      <w:tabs>
        <w:tab w:val="left" w:pos="1296"/>
      </w:tabs>
      <w:adjustRightInd w:val="0"/>
      <w:spacing w:before="240" w:after="64" w:line="320" w:lineRule="atLeast"/>
      <w:ind w:left="1296" w:hanging="1296"/>
      <w:jc w:val="left"/>
      <w:textAlignment w:val="baseline"/>
      <w:outlineLvl w:val="6"/>
    </w:pPr>
    <w:rPr>
      <w:rFonts w:ascii="Verdana" w:hAnsi="Verdana"/>
      <w:szCs w:val="20"/>
      <w:lang w:eastAsia="en-US"/>
    </w:rPr>
  </w:style>
  <w:style w:type="paragraph" w:styleId="8">
    <w:name w:val="heading 8"/>
    <w:basedOn w:val="a"/>
    <w:next w:val="a"/>
    <w:link w:val="80"/>
    <w:uiPriority w:val="9"/>
    <w:qFormat/>
    <w:rsid w:val="00B141E8"/>
    <w:pPr>
      <w:keepNext/>
      <w:keepLines/>
      <w:tabs>
        <w:tab w:val="left" w:pos="1440"/>
      </w:tabs>
      <w:adjustRightInd w:val="0"/>
      <w:spacing w:before="240" w:after="64" w:line="320" w:lineRule="atLeast"/>
      <w:ind w:left="1440" w:hanging="1440"/>
      <w:jc w:val="left"/>
      <w:textAlignment w:val="baseline"/>
      <w:outlineLvl w:val="7"/>
    </w:pPr>
    <w:rPr>
      <w:rFonts w:ascii="Arial" w:eastAsia="黑体" w:hAnsi="Arial"/>
      <w:szCs w:val="20"/>
      <w:lang w:eastAsia="en-US"/>
    </w:rPr>
  </w:style>
  <w:style w:type="paragraph" w:styleId="9">
    <w:name w:val="heading 9"/>
    <w:basedOn w:val="a"/>
    <w:next w:val="a"/>
    <w:link w:val="90"/>
    <w:uiPriority w:val="9"/>
    <w:qFormat/>
    <w:rsid w:val="00B141E8"/>
    <w:pPr>
      <w:keepNext/>
      <w:keepLines/>
      <w:tabs>
        <w:tab w:val="left" w:pos="1584"/>
      </w:tabs>
      <w:adjustRightInd w:val="0"/>
      <w:spacing w:before="240" w:after="64" w:line="320" w:lineRule="atLeast"/>
      <w:ind w:left="1583" w:hanging="1583"/>
      <w:jc w:val="left"/>
      <w:textAlignment w:val="baseline"/>
      <w:outlineLvl w:val="8"/>
    </w:pPr>
    <w:rPr>
      <w:rFonts w:ascii="Arial" w:eastAsia="黑体" w:hAnsi="Arial"/>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141E8"/>
    <w:rPr>
      <w:rFonts w:ascii="宋体" w:eastAsia="宋体" w:hAnsi="宋体"/>
      <w:b/>
      <w:bCs/>
      <w:kern w:val="44"/>
      <w:sz w:val="44"/>
      <w:szCs w:val="44"/>
    </w:rPr>
  </w:style>
  <w:style w:type="character" w:customStyle="1" w:styleId="20">
    <w:name w:val="标题 2 字符"/>
    <w:link w:val="2"/>
    <w:qFormat/>
    <w:rsid w:val="00B141E8"/>
    <w:rPr>
      <w:rFonts w:eastAsia="黑体"/>
      <w:bCs/>
      <w:sz w:val="32"/>
      <w:szCs w:val="32"/>
    </w:rPr>
  </w:style>
  <w:style w:type="character" w:customStyle="1" w:styleId="40">
    <w:name w:val="标题 4 字符"/>
    <w:link w:val="4"/>
    <w:qFormat/>
    <w:rsid w:val="00B141E8"/>
    <w:rPr>
      <w:color w:val="000000"/>
      <w14:scene3d>
        <w14:camera w14:prst="orthographicFront"/>
        <w14:lightRig w14:rig="threePt" w14:dir="t">
          <w14:rot w14:lat="0" w14:lon="0" w14:rev="0"/>
        </w14:lightRig>
      </w14:scene3d>
    </w:rPr>
  </w:style>
  <w:style w:type="character" w:customStyle="1" w:styleId="30">
    <w:name w:val="标题 3 字符"/>
    <w:link w:val="3"/>
    <w:qFormat/>
    <w:locked/>
    <w:rsid w:val="00B141E8"/>
    <w:rPr>
      <w:rFonts w:ascii="楷体_GB2312" w:eastAsia="楷体_GB2312"/>
      <w:color w:val="000000"/>
      <w:sz w:val="32"/>
      <w:szCs w:val="32"/>
      <w14:scene3d>
        <w14:camera w14:prst="orthographicFront"/>
        <w14:lightRig w14:rig="threePt" w14:dir="t">
          <w14:rot w14:lat="0" w14:lon="0" w14:rev="0"/>
        </w14:lightRig>
      </w14:scene3d>
    </w:rPr>
  </w:style>
  <w:style w:type="character" w:customStyle="1" w:styleId="50">
    <w:name w:val="标题 5 字符"/>
    <w:link w:val="5"/>
    <w:uiPriority w:val="9"/>
    <w:qFormat/>
    <w:rsid w:val="00B141E8"/>
    <w:rPr>
      <w:rFonts w:ascii="仿宋_GB2312" w:hAnsi="仿宋_GB2312"/>
      <w:b/>
      <w:bCs/>
      <w:lang w:eastAsia="en-US"/>
    </w:rPr>
  </w:style>
  <w:style w:type="character" w:customStyle="1" w:styleId="60">
    <w:name w:val="标题 6 字符"/>
    <w:link w:val="6"/>
    <w:uiPriority w:val="9"/>
    <w:qFormat/>
    <w:rsid w:val="00B141E8"/>
    <w:rPr>
      <w:rFonts w:ascii="Arial" w:hAnsi="Arial"/>
      <w:szCs w:val="20"/>
      <w:lang w:eastAsia="en-US"/>
    </w:rPr>
  </w:style>
  <w:style w:type="character" w:customStyle="1" w:styleId="70">
    <w:name w:val="标题 7 字符"/>
    <w:link w:val="7"/>
    <w:uiPriority w:val="9"/>
    <w:qFormat/>
    <w:rsid w:val="00B141E8"/>
    <w:rPr>
      <w:rFonts w:ascii="Verdana" w:hAnsi="Verdana"/>
      <w:szCs w:val="20"/>
      <w:lang w:eastAsia="en-US"/>
    </w:rPr>
  </w:style>
  <w:style w:type="character" w:customStyle="1" w:styleId="80">
    <w:name w:val="标题 8 字符"/>
    <w:link w:val="8"/>
    <w:uiPriority w:val="9"/>
    <w:qFormat/>
    <w:rsid w:val="00B141E8"/>
    <w:rPr>
      <w:rFonts w:ascii="Arial" w:eastAsia="黑体" w:hAnsi="Arial"/>
      <w:szCs w:val="20"/>
      <w:lang w:eastAsia="en-US"/>
    </w:rPr>
  </w:style>
  <w:style w:type="character" w:customStyle="1" w:styleId="90">
    <w:name w:val="标题 9 字符"/>
    <w:link w:val="9"/>
    <w:uiPriority w:val="9"/>
    <w:qFormat/>
    <w:rsid w:val="00B141E8"/>
    <w:rPr>
      <w:rFonts w:ascii="Arial" w:eastAsia="黑体" w:hAnsi="Arial"/>
      <w:szCs w:val="20"/>
      <w:lang w:eastAsia="en-US"/>
    </w:rPr>
  </w:style>
  <w:style w:type="paragraph" w:customStyle="1" w:styleId="-">
    <w:name w:val="正文-表格"/>
    <w:basedOn w:val="a"/>
    <w:link w:val="-0"/>
    <w:rsid w:val="00354058"/>
  </w:style>
  <w:style w:type="character" w:customStyle="1" w:styleId="-0">
    <w:name w:val="正文-表格 字符"/>
    <w:basedOn w:val="a0"/>
    <w:link w:val="-"/>
    <w:rsid w:val="00354058"/>
  </w:style>
  <w:style w:type="paragraph" w:styleId="a3">
    <w:name w:val="header"/>
    <w:basedOn w:val="a"/>
    <w:link w:val="a4"/>
    <w:uiPriority w:val="99"/>
    <w:unhideWhenUsed/>
    <w:rsid w:val="006E2B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2BD3"/>
    <w:rPr>
      <w:sz w:val="18"/>
      <w:szCs w:val="18"/>
    </w:rPr>
  </w:style>
  <w:style w:type="paragraph" w:styleId="a5">
    <w:name w:val="footer"/>
    <w:basedOn w:val="a"/>
    <w:link w:val="a6"/>
    <w:uiPriority w:val="99"/>
    <w:unhideWhenUsed/>
    <w:rsid w:val="006E2BD3"/>
    <w:pPr>
      <w:tabs>
        <w:tab w:val="center" w:pos="4153"/>
        <w:tab w:val="right" w:pos="8306"/>
      </w:tabs>
      <w:snapToGrid w:val="0"/>
      <w:jc w:val="left"/>
    </w:pPr>
    <w:rPr>
      <w:sz w:val="18"/>
      <w:szCs w:val="18"/>
    </w:rPr>
  </w:style>
  <w:style w:type="character" w:customStyle="1" w:styleId="a6">
    <w:name w:val="页脚 字符"/>
    <w:basedOn w:val="a0"/>
    <w:link w:val="a5"/>
    <w:uiPriority w:val="99"/>
    <w:rsid w:val="006E2B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MAGAM</dc:creator>
  <cp:keywords/>
  <dc:description/>
  <cp:lastModifiedBy>MAGAM</cp:lastModifiedBy>
  <cp:revision>1</cp:revision>
  <dcterms:created xsi:type="dcterms:W3CDTF">2025-09-18T06:45:00Z</dcterms:created>
  <dcterms:modified xsi:type="dcterms:W3CDTF">2025-09-18T06:45:00Z</dcterms:modified>
</cp:coreProperties>
</file>